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F2C38" w:rsidRDefault="00DF2C38">
      <w:pPr>
        <w:rPr>
          <w:rFonts w:ascii="黑体" w:eastAsia="黑体" w:hAnsi="黑体" w:hint="eastAsia"/>
          <w:sz w:val="32"/>
          <w:szCs w:val="32"/>
        </w:rPr>
      </w:pPr>
    </w:p>
    <w:p w:rsidR="00DF2C38" w:rsidRDefault="00DF2C38">
      <w:pPr>
        <w:jc w:val="center"/>
        <w:rPr>
          <w:rFonts w:ascii="方正小标宋_GBK" w:eastAsia="方正小标宋_GBK" w:hAnsi="宋体" w:hint="eastAsia"/>
          <w:sz w:val="44"/>
          <w:szCs w:val="44"/>
        </w:rPr>
      </w:pPr>
    </w:p>
    <w:p w:rsidR="00DF2C3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木垒哈萨克自治县白杨河乡中心学校</w:t>
      </w:r>
    </w:p>
    <w:p w:rsidR="00DF2C3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DF2C3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DF2C3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DF2C3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DF2C3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DF2C3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DF2C3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DF2C3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DF2C3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DF2C3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DF2C3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DF2C3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DF2C3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DF2C3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DF2C38" w:rsidRDefault="00000000">
      <w:r>
        <w:rPr>
          <w:rFonts w:ascii="仿宋_GB2312" w:eastAsia="仿宋_GB2312" w:hAnsi="仿宋_GB2312" w:cs="仿宋_GB2312" w:hint="eastAsia"/>
          <w:sz w:val="32"/>
          <w:szCs w:val="32"/>
        </w:rPr>
        <w:fldChar w:fldCharType="end"/>
      </w:r>
    </w:p>
    <w:p w:rsidR="00DF2C38" w:rsidRDefault="00000000">
      <w:pPr>
        <w:rPr>
          <w:rFonts w:ascii="仿宋_GB2312" w:eastAsia="仿宋_GB2312"/>
          <w:sz w:val="32"/>
          <w:szCs w:val="32"/>
        </w:rPr>
      </w:pPr>
      <w:r>
        <w:rPr>
          <w:rFonts w:ascii="仿宋_GB2312" w:eastAsia="仿宋_GB2312" w:hint="eastAsia"/>
          <w:sz w:val="32"/>
          <w:szCs w:val="32"/>
        </w:rPr>
        <w:br w:type="page"/>
      </w:r>
    </w:p>
    <w:p w:rsidR="00DF2C38"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rsidR="00DF2C38"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DF2C38"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rsidR="00DF2C38" w:rsidRDefault="00000000">
      <w:pPr>
        <w:ind w:firstLineChars="200" w:firstLine="640"/>
        <w:outlineLvl w:val="1"/>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DF2C38" w:rsidRDefault="00000000">
      <w:pPr>
        <w:ind w:firstLineChars="200" w:firstLine="640"/>
        <w:outlineLvl w:val="1"/>
        <w:rPr>
          <w:rFonts w:ascii="仿宋_GB2312" w:eastAsia="仿宋_GB2312"/>
          <w:sz w:val="32"/>
          <w:szCs w:val="32"/>
        </w:rPr>
      </w:pPr>
      <w:r>
        <w:rPr>
          <w:rFonts w:ascii="仿宋_GB2312" w:eastAsia="仿宋_GB2312" w:hint="eastAsia"/>
          <w:sz w:val="32"/>
          <w:szCs w:val="32"/>
        </w:rPr>
        <w:t>(2)、小学教育</w:t>
      </w:r>
    </w:p>
    <w:p w:rsidR="00DF2C38" w:rsidRDefault="00000000">
      <w:pPr>
        <w:ind w:firstLineChars="200" w:firstLine="640"/>
        <w:outlineLvl w:val="1"/>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rsidR="00DF2C38"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DF2C38"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木垒哈萨克自治县白杨河乡中心学校2023年度，实有人数</w:t>
      </w:r>
      <w:r>
        <w:rPr>
          <w:rFonts w:ascii="仿宋_GB2312" w:eastAsia="仿宋_GB2312" w:hint="eastAsia"/>
          <w:sz w:val="32"/>
          <w:szCs w:val="32"/>
          <w:lang w:val="zh-CN"/>
        </w:rPr>
        <w:t>70</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w:t>
      </w:r>
      <w:r>
        <w:rPr>
          <w:rFonts w:ascii="仿宋_GB2312" w:eastAsia="仿宋_GB2312" w:hint="eastAsia"/>
          <w:sz w:val="32"/>
          <w:szCs w:val="32"/>
        </w:rPr>
        <w:lastRenderedPageBreak/>
        <w:t>员</w:t>
      </w:r>
      <w:r>
        <w:rPr>
          <w:rFonts w:ascii="仿宋_GB2312" w:eastAsia="仿宋_GB2312" w:hint="eastAsia"/>
          <w:sz w:val="32"/>
          <w:szCs w:val="32"/>
          <w:lang w:val="zh-CN"/>
        </w:rPr>
        <w:t>25</w:t>
      </w:r>
      <w:r>
        <w:rPr>
          <w:rFonts w:ascii="仿宋_GB2312" w:eastAsia="仿宋_GB2312" w:hint="eastAsia"/>
          <w:sz w:val="32"/>
          <w:szCs w:val="32"/>
        </w:rPr>
        <w:t>人。</w:t>
      </w:r>
    </w:p>
    <w:p w:rsidR="00DF2C38" w:rsidRDefault="00000000">
      <w:pPr>
        <w:ind w:firstLineChars="200" w:firstLine="640"/>
        <w:rPr>
          <w:rFonts w:ascii="仿宋_GB2312" w:eastAsia="仿宋_GB2312" w:hAnsi="宋体" w:cs="宋体" w:hint="eastAsia"/>
          <w:kern w:val="0"/>
          <w:sz w:val="32"/>
          <w:szCs w:val="32"/>
        </w:rPr>
        <w:sectPr w:rsidR="00DF2C3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单位无下属预算单位，下设4个科室，分别是：教务室、德育室、总务室、财务室</w:t>
      </w:r>
      <w:r>
        <w:rPr>
          <w:rFonts w:ascii="仿宋_GB2312" w:eastAsia="仿宋_GB2312" w:hAnsi="宋体" w:cs="宋体" w:hint="eastAsia"/>
          <w:kern w:val="0"/>
          <w:sz w:val="32"/>
          <w:szCs w:val="32"/>
        </w:rPr>
        <w:t>。</w:t>
      </w:r>
    </w:p>
    <w:p w:rsidR="00DF2C38"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DF2C3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2023年度收入总计964.76万元，其中：本年收入合计964.76万元，使用非财政拨款结余0.00万元，年初结转和结余0.00万元。</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2023年度支出总计964.76万元，其中：本年支出合计964.76万元，结余分配0.00万元，年末结转和结余0.00万元。</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，增长4.96%，主要原因是：单位本年在职人员的工资、社保、住房公积金基数增加。</w:t>
      </w:r>
    </w:p>
    <w:p w:rsidR="00DF2C38"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本年收入964.76万元，其中：财政拨款收入</w:t>
      </w:r>
      <w:r>
        <w:rPr>
          <w:rFonts w:ascii="仿宋_GB2312" w:eastAsia="仿宋_GB2312" w:hint="eastAsia"/>
          <w:sz w:val="32"/>
          <w:szCs w:val="32"/>
          <w:lang w:val="zh-CN"/>
        </w:rPr>
        <w:t>964.76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DF2C3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本年支出964.76万元，其中：基本支出910.76万元，占94.40%；项目支出54.00万元，占5.60%；上缴上级支出0.00万元，占0.00%；经营支出0.00万元，占0.00%；对附属单位补助支出0.00万元，占0.00%。</w:t>
      </w:r>
    </w:p>
    <w:p w:rsidR="00DF2C38"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964.76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964.76</w:t>
      </w:r>
      <w:r>
        <w:rPr>
          <w:rFonts w:ascii="仿宋_GB2312" w:eastAsia="仿宋_GB2312" w:hint="eastAsia"/>
          <w:sz w:val="32"/>
          <w:szCs w:val="32"/>
        </w:rPr>
        <w:t>万元。财政拨款支出总计</w:t>
      </w:r>
      <w:r>
        <w:rPr>
          <w:rFonts w:ascii="仿宋_GB2312" w:eastAsia="仿宋_GB2312" w:hint="eastAsia"/>
          <w:sz w:val="32"/>
          <w:szCs w:val="32"/>
          <w:lang w:val="zh-CN"/>
        </w:rPr>
        <w:t>964.76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964.76</w:t>
      </w:r>
      <w:r>
        <w:rPr>
          <w:rFonts w:ascii="仿宋_GB2312" w:eastAsia="仿宋_GB2312" w:hint="eastAsia"/>
          <w:sz w:val="32"/>
          <w:szCs w:val="32"/>
        </w:rPr>
        <w:t>万元。</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，增长4.96%,主要原因是：单位本年城乡义务教育补助经费增加。与年初预算相比，年初预算数</w:t>
      </w:r>
      <w:r>
        <w:rPr>
          <w:rFonts w:ascii="仿宋_GB2312" w:eastAsia="仿宋_GB2312" w:hint="eastAsia"/>
          <w:sz w:val="32"/>
          <w:szCs w:val="32"/>
          <w:lang w:val="zh-CN"/>
        </w:rPr>
        <w:t>898.03</w:t>
      </w:r>
      <w:r>
        <w:rPr>
          <w:rFonts w:ascii="仿宋_GB2312" w:eastAsia="仿宋_GB2312" w:hint="eastAsia"/>
          <w:sz w:val="32"/>
          <w:szCs w:val="32"/>
        </w:rPr>
        <w:t>万元，决算数</w:t>
      </w:r>
      <w:r>
        <w:rPr>
          <w:rFonts w:ascii="仿宋_GB2312" w:eastAsia="仿宋_GB2312" w:hint="eastAsia"/>
          <w:sz w:val="32"/>
          <w:szCs w:val="32"/>
          <w:lang w:val="zh-CN"/>
        </w:rPr>
        <w:t>964.76</w:t>
      </w:r>
      <w:r>
        <w:rPr>
          <w:rFonts w:ascii="仿宋_GB2312" w:eastAsia="仿宋_GB2312" w:hint="eastAsia"/>
          <w:sz w:val="32"/>
          <w:szCs w:val="32"/>
        </w:rPr>
        <w:t>万元，预决算差异率7.43%，主要原因是：单位本年在职人员的工资、社保、住房公积金基数增加。</w:t>
      </w:r>
    </w:p>
    <w:p w:rsidR="00DF2C38"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DF2C3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DF2C3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2023年度一般公共预算财政拨款支出964.76万元，占本年支出合计的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，增长4.96%,主要原因是：单位本年城乡义务教育补助经费增加。与年初预算相比，年初预算数</w:t>
      </w:r>
      <w:r>
        <w:rPr>
          <w:rFonts w:ascii="仿宋_GB2312" w:eastAsia="仿宋_GB2312" w:hint="eastAsia"/>
          <w:sz w:val="32"/>
          <w:szCs w:val="32"/>
          <w:lang w:val="zh-CN"/>
        </w:rPr>
        <w:t>898.03</w:t>
      </w:r>
      <w:r>
        <w:rPr>
          <w:rFonts w:ascii="仿宋_GB2312" w:eastAsia="仿宋_GB2312" w:hint="eastAsia"/>
          <w:sz w:val="32"/>
          <w:szCs w:val="32"/>
        </w:rPr>
        <w:t>万元，决算数</w:t>
      </w:r>
      <w:r>
        <w:rPr>
          <w:rFonts w:ascii="仿宋_GB2312" w:eastAsia="仿宋_GB2312" w:hint="eastAsia"/>
          <w:sz w:val="32"/>
          <w:szCs w:val="32"/>
          <w:lang w:val="zh-CN"/>
        </w:rPr>
        <w:t>964.76</w:t>
      </w:r>
      <w:r>
        <w:rPr>
          <w:rFonts w:ascii="仿宋_GB2312" w:eastAsia="仿宋_GB2312" w:hint="eastAsia"/>
          <w:sz w:val="32"/>
          <w:szCs w:val="32"/>
        </w:rPr>
        <w:t>万元，预决算差异率</w:t>
      </w:r>
      <w:r>
        <w:rPr>
          <w:rFonts w:ascii="仿宋_GB2312" w:eastAsia="仿宋_GB2312" w:hint="eastAsia"/>
          <w:sz w:val="32"/>
          <w:szCs w:val="32"/>
          <w:lang w:val="zh-CN"/>
        </w:rPr>
        <w:t>7.43%</w:t>
      </w:r>
      <w:r>
        <w:rPr>
          <w:rFonts w:ascii="仿宋_GB2312" w:eastAsia="仿宋_GB2312" w:hint="eastAsia"/>
          <w:sz w:val="32"/>
          <w:szCs w:val="32"/>
        </w:rPr>
        <w:t>，主要原因是：单位本年在职人员的工资、社保、住房公积金基数增加。</w:t>
      </w:r>
    </w:p>
    <w:p w:rsidR="00DF2C3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DF2C3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934.47</w:t>
      </w:r>
      <w:r>
        <w:rPr>
          <w:rFonts w:ascii="仿宋_GB2312" w:eastAsia="仿宋_GB2312"/>
          <w:kern w:val="2"/>
          <w:sz w:val="32"/>
          <w:szCs w:val="32"/>
          <w:lang w:val="zh-CN"/>
        </w:rPr>
        <w:t>万元，占</w:t>
      </w:r>
      <w:r>
        <w:rPr>
          <w:rFonts w:ascii="仿宋_GB2312" w:eastAsia="仿宋_GB2312" w:hint="eastAsia"/>
          <w:kern w:val="2"/>
          <w:sz w:val="32"/>
          <w:szCs w:val="32"/>
          <w:lang w:val="zh-CN"/>
        </w:rPr>
        <w:t>96.86</w:t>
      </w:r>
      <w:r>
        <w:rPr>
          <w:rFonts w:ascii="仿宋_GB2312" w:eastAsia="仿宋_GB2312"/>
          <w:kern w:val="2"/>
          <w:sz w:val="32"/>
          <w:szCs w:val="32"/>
          <w:lang w:val="zh-CN"/>
        </w:rPr>
        <w:t>%；</w:t>
      </w:r>
    </w:p>
    <w:p w:rsidR="00DF2C38"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30.30</w:t>
      </w:r>
      <w:r>
        <w:rPr>
          <w:rFonts w:ascii="仿宋_GB2312" w:eastAsia="仿宋_GB2312"/>
          <w:kern w:val="2"/>
          <w:sz w:val="32"/>
          <w:szCs w:val="32"/>
          <w:lang w:val="zh-CN"/>
        </w:rPr>
        <w:t>万元，占</w:t>
      </w:r>
      <w:r>
        <w:rPr>
          <w:rFonts w:ascii="仿宋_GB2312" w:eastAsia="仿宋_GB2312" w:hint="eastAsia"/>
          <w:kern w:val="2"/>
          <w:sz w:val="32"/>
          <w:szCs w:val="32"/>
          <w:lang w:val="zh-CN"/>
        </w:rPr>
        <w:t>3.14</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DF2C3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DF2C38" w:rsidRDefault="00000000">
      <w:pPr>
        <w:ind w:firstLineChars="200" w:firstLine="640"/>
        <w:rPr>
          <w:rFonts w:ascii="仿宋_GB2312" w:eastAsia="仿宋_GB2312"/>
          <w:sz w:val="32"/>
          <w:szCs w:val="32"/>
          <w:lang w:val="zh-CN"/>
        </w:rPr>
      </w:pPr>
      <w:r>
        <w:rPr>
          <w:rFonts w:eastAsia="仿宋_GB2312" w:hint="eastAsia"/>
          <w:sz w:val="32"/>
          <w:szCs w:val="32"/>
        </w:rPr>
        <w:lastRenderedPageBreak/>
        <w:t>1</w:t>
      </w:r>
      <w:r>
        <w:rPr>
          <w:rFonts w:ascii="仿宋_GB2312" w:eastAsia="仿宋_GB2312" w:hint="eastAsia"/>
          <w:sz w:val="32"/>
          <w:szCs w:val="32"/>
        </w:rPr>
        <w:t>.教育支出（类）教育费附加安排的支出（款）其他教育费附加安排的支出（项）:支出决算数为2.85万元，比上年决算增加2.85万元，增长100%，主要原因是：单位本年新增</w:t>
      </w:r>
      <w:r>
        <w:rPr>
          <w:rFonts w:ascii="仿宋_GB2312" w:eastAsia="仿宋_GB2312" w:hint="eastAsia"/>
          <w:sz w:val="32"/>
          <w:szCs w:val="32"/>
          <w:lang w:val="zh-CN"/>
        </w:rPr>
        <w:t>课后服务经费。</w:t>
      </w:r>
    </w:p>
    <w:p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2.社会保障和就业支出（类）抚恤（款）死亡抚恤（项）:支出决算数为12.60万元，比上年决算增加11.08万元，增长726.85%，主要原因是：单位本年退休死亡1人，死亡抚恤金增加</w:t>
      </w:r>
      <w:r>
        <w:rPr>
          <w:rFonts w:ascii="仿宋_GB2312" w:eastAsia="仿宋_GB2312" w:hint="eastAsia"/>
          <w:sz w:val="32"/>
          <w:szCs w:val="32"/>
          <w:lang w:val="zh-CN"/>
        </w:rPr>
        <w:t>。</w:t>
      </w:r>
    </w:p>
    <w:p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3.教育支出（类）普通教育（款）小学教育（项）:支出决算数为813.17万元，比上年决算减少8.92万元，下降1.09%，主要原因是：单位本年新增退休1人</w:t>
      </w:r>
      <w:r>
        <w:rPr>
          <w:rFonts w:ascii="仿宋_GB2312" w:eastAsia="仿宋_GB2312" w:hint="eastAsia"/>
          <w:sz w:val="32"/>
          <w:szCs w:val="32"/>
          <w:lang w:val="zh-CN"/>
        </w:rPr>
        <w:t>。</w:t>
      </w:r>
    </w:p>
    <w:p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4.社会保障和就业支出（类）行政事业单位养老支出（款）事业单位离退休（项）:支出决算数为7.79万元，比上年决算增加4.85万元，增长165.03%，主要原因是：单位本年退休人员基础</w:t>
      </w:r>
      <w:proofErr w:type="gramStart"/>
      <w:r>
        <w:rPr>
          <w:rFonts w:ascii="仿宋_GB2312" w:eastAsia="仿宋_GB2312" w:hint="eastAsia"/>
          <w:sz w:val="32"/>
          <w:szCs w:val="32"/>
        </w:rPr>
        <w:t>绩效奖</w:t>
      </w:r>
      <w:proofErr w:type="gramEnd"/>
      <w:r>
        <w:rPr>
          <w:rFonts w:ascii="仿宋_GB2312" w:eastAsia="仿宋_GB2312" w:hint="eastAsia"/>
          <w:sz w:val="32"/>
          <w:szCs w:val="32"/>
        </w:rPr>
        <w:t>增加</w:t>
      </w:r>
      <w:r>
        <w:rPr>
          <w:rFonts w:ascii="仿宋_GB2312" w:eastAsia="仿宋_GB2312" w:hint="eastAsia"/>
          <w:sz w:val="32"/>
          <w:szCs w:val="32"/>
          <w:lang w:val="zh-CN"/>
        </w:rPr>
        <w:t>。</w:t>
      </w:r>
    </w:p>
    <w:p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5.教育支出（类）普通教育（款）学前教育（项）:支出决算数为118.45万元，比上年决算增加36.12万元，增长43.87%，主要原因是：</w:t>
      </w:r>
      <w:r>
        <w:rPr>
          <w:rFonts w:ascii="仿宋_GB2312" w:eastAsia="仿宋_GB2312" w:hint="eastAsia"/>
          <w:sz w:val="32"/>
          <w:szCs w:val="32"/>
          <w:lang w:val="zh-CN"/>
        </w:rPr>
        <w:t>单位本年在职人员的工资、社保、住房公积金基数增加。</w:t>
      </w:r>
    </w:p>
    <w:p w:rsidR="00DF2C38" w:rsidRDefault="00000000">
      <w:pPr>
        <w:ind w:firstLineChars="200" w:firstLine="640"/>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6.社会保障和就业支出（类）行政事业单位养老支出（款）机关事业单位职业年金缴费支出（项）:支出决算数为9.91万元，比上年决算增加2.99万元，增长43.20%，主</w:t>
      </w:r>
      <w:r>
        <w:rPr>
          <w:rFonts w:ascii="仿宋_GB2312" w:eastAsia="仿宋_GB2312" w:hint="eastAsia"/>
          <w:sz w:val="32"/>
          <w:szCs w:val="32"/>
        </w:rPr>
        <w:lastRenderedPageBreak/>
        <w:t>要原因是：</w:t>
      </w:r>
      <w:r>
        <w:rPr>
          <w:rFonts w:ascii="仿宋_GB2312" w:eastAsia="仿宋_GB2312" w:hint="eastAsia"/>
          <w:sz w:val="32"/>
          <w:szCs w:val="32"/>
          <w:lang w:val="zh-CN"/>
        </w:rPr>
        <w:t>单位本年新增退休1人，</w:t>
      </w:r>
      <w:r>
        <w:rPr>
          <w:rFonts w:ascii="仿宋_GB2312" w:eastAsia="仿宋_GB2312" w:hint="eastAsia"/>
          <w:sz w:val="32"/>
          <w:szCs w:val="32"/>
        </w:rPr>
        <w:t>职业年金缴费支出增加。</w:t>
      </w:r>
    </w:p>
    <w:p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7.教育支出（类）教育费附加安排的支出（款）农村中小学教学设施（项）:支出决算数为0.00万元，比上年决算减少1.97万元，下降100%，主要原因是：单位本年无此项支出</w:t>
      </w:r>
      <w:r>
        <w:rPr>
          <w:rFonts w:ascii="仿宋_GB2312" w:eastAsia="仿宋_GB2312" w:hint="eastAsia"/>
          <w:sz w:val="32"/>
          <w:szCs w:val="32"/>
          <w:lang w:val="zh-CN"/>
        </w:rPr>
        <w:t>。</w:t>
      </w:r>
    </w:p>
    <w:p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8.住房保障支出（类）住房改革支出（款）住房公积金（项）:支出决算数为0.00万元，比上年决算减少1.37万元，下降100%，主要原因是：</w:t>
      </w:r>
      <w:r>
        <w:rPr>
          <w:rFonts w:ascii="仿宋_GB2312" w:eastAsia="仿宋_GB2312" w:hint="eastAsia"/>
          <w:sz w:val="32"/>
          <w:szCs w:val="32"/>
          <w:lang w:val="zh-CN"/>
        </w:rPr>
        <w:t>单位本年无此项支出。</w:t>
      </w:r>
    </w:p>
    <w:p w:rsidR="00DF2C3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910.76万元，其中：人员经费899.21万元，包括：基本工资、津贴补贴、奖金、机关事业单位基本养老保险缴费、职业年金缴费、职工基本医疗保险缴费、其他社会保障缴费、住房公积金、退休费、抚恤金、生活补助、奖励金、其他对个人和家庭的补助。</w:t>
      </w:r>
    </w:p>
    <w:p w:rsidR="00DF2C38"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公用经费11.55万元，包括：电费、取暖费、培训费、其他商品和服务支出。</w:t>
      </w:r>
    </w:p>
    <w:p w:rsidR="00DF2C3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w:t>
      </w:r>
      <w:r>
        <w:rPr>
          <w:rFonts w:ascii="仿宋_GB2312" w:eastAsia="仿宋_GB2312" w:hint="eastAsia"/>
          <w:sz w:val="32"/>
          <w:szCs w:val="32"/>
          <w:lang w:val="zh-CN"/>
        </w:rPr>
        <w:lastRenderedPageBreak/>
        <w:t>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w:t>
      </w:r>
    </w:p>
    <w:p w:rsidR="00DF2C3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DF2C3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DF2C3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DF2C38"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DF2C38"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木垒哈萨克自治县白杨河乡中心学校（事业单位）公用经费支出11.55万元，</w:t>
      </w:r>
      <w:r>
        <w:rPr>
          <w:rFonts w:ascii="仿宋_GB2312" w:eastAsia="仿宋_GB2312" w:hint="eastAsia"/>
          <w:sz w:val="32"/>
          <w:szCs w:val="32"/>
          <w:lang w:val="zh-CN"/>
        </w:rPr>
        <w:t>比上年增加10.55万元，增长1</w:t>
      </w:r>
      <w:r>
        <w:rPr>
          <w:rFonts w:ascii="仿宋_GB2312" w:eastAsia="仿宋_GB2312" w:hint="eastAsia"/>
          <w:sz w:val="32"/>
          <w:szCs w:val="32"/>
        </w:rPr>
        <w:t>,</w:t>
      </w:r>
      <w:r>
        <w:rPr>
          <w:rFonts w:ascii="仿宋_GB2312" w:eastAsia="仿宋_GB2312" w:hint="eastAsia"/>
          <w:sz w:val="32"/>
          <w:szCs w:val="32"/>
          <w:lang w:val="zh-CN"/>
        </w:rPr>
        <w:t>055.28%，主要原因是：</w:t>
      </w:r>
      <w:r>
        <w:rPr>
          <w:rFonts w:ascii="仿宋_GB2312" w:eastAsia="仿宋_GB2312" w:hint="eastAsia"/>
          <w:sz w:val="32"/>
          <w:szCs w:val="32"/>
        </w:rPr>
        <w:t>单位本年取暖费和其他商品和服务支出较上年增加。</w:t>
      </w:r>
    </w:p>
    <w:p w:rsidR="00DF2C3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w:t>
      </w:r>
      <w:r>
        <w:rPr>
          <w:rFonts w:ascii="仿宋_GB2312" w:eastAsia="仿宋_GB2312" w:hint="eastAsia"/>
          <w:sz w:val="32"/>
          <w:szCs w:val="32"/>
          <w:lang w:val="zh-CN"/>
        </w:rPr>
        <w:lastRenderedPageBreak/>
        <w:t>购货物支出0.00万元、政府采购工程支出0.00万元、政府采购服务支出0.00万元。</w:t>
      </w:r>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DF2C38"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DF2C38" w:rsidRDefault="00000000">
      <w:pPr>
        <w:ind w:firstLineChars="200" w:firstLine="640"/>
        <w:jc w:val="left"/>
        <w:rPr>
          <w:rFonts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843.84</w:t>
      </w:r>
      <w:r>
        <w:rPr>
          <w:rFonts w:ascii="仿宋_GB2312" w:eastAsia="仿宋_GB2312" w:hint="eastAsia"/>
          <w:sz w:val="32"/>
          <w:szCs w:val="32"/>
        </w:rPr>
        <w:t>万元，房</w:t>
      </w:r>
      <w:r>
        <w:rPr>
          <w:rFonts w:ascii="仿宋_GB2312" w:eastAsia="仿宋_GB2312" w:hint="eastAsia"/>
          <w:sz w:val="32"/>
          <w:szCs w:val="32"/>
          <w:lang w:val="zh-CN"/>
        </w:rPr>
        <w:t>屋6</w:t>
      </w:r>
      <w:r>
        <w:rPr>
          <w:rFonts w:ascii="仿宋_GB2312" w:eastAsia="仿宋_GB2312" w:hint="eastAsia"/>
          <w:sz w:val="32"/>
          <w:szCs w:val="32"/>
        </w:rPr>
        <w:t>,</w:t>
      </w:r>
      <w:r>
        <w:rPr>
          <w:rFonts w:ascii="仿宋_GB2312" w:eastAsia="仿宋_GB2312" w:hint="eastAsia"/>
          <w:sz w:val="32"/>
          <w:szCs w:val="32"/>
          <w:lang w:val="zh-CN"/>
        </w:rPr>
        <w:t>988.72平方米，价值636.17万元。车辆0辆，价值0.00万元，其中：副部（省）级及以上领导用车0辆、主要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DF2C3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预算总额964.76万元，实际执行总额964.76万元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w:t>
      </w:r>
      <w:r>
        <w:rPr>
          <w:rFonts w:ascii="仿宋_GB2312" w:eastAsia="仿宋_GB2312" w:hint="eastAsia"/>
          <w:sz w:val="32"/>
          <w:szCs w:val="32"/>
        </w:rPr>
        <w:lastRenderedPageBreak/>
        <w:t>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DF2C38">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DF2C38">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DF2C38">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木垒哈萨克自治县白杨河乡中心学校</w:t>
            </w:r>
          </w:p>
        </w:tc>
      </w:tr>
      <w:tr w:rsidR="00DF2C38">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DF2C38">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F2C38">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F2C38">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F2C38">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876.32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942.04</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r>
      <w:tr w:rsidR="00DF2C38">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r>
      <w:tr w:rsidR="00DF2C38">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898.03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964.76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964.76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F2C38">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DF2C38">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2023年完成坚持每周开展教研活动，每学期主题式校本研修活动不少于四次，效果好；查阅学校教学常规检查资料，每学期综合检查不少于4次，有记录、有反馈、有改进措施；“三进两联</w:t>
            </w: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交友”联谊活动每学期不少于2次；按计划组织开展法治教育活动，每学期不少于一次，法治教育工作机构健全、制度完善，学习各类法律法规资料齐全，活动资料完善。</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截止2023年12月31日，我单位已完成6个班157名学生的教育工作，组织教师教研培训45次且合格率均为100%；学生升学率、学生校园活动参与率、各类考试完成及时率均为100%，“三进两联</w:t>
            </w: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交友”联谊活动每学期2次，每学期开展法制教育活动1次，每学期教学常规检查2次，教师研修活动每学期4次。工资待遇不比本科生差</w:t>
            </w:r>
            <w:proofErr w:type="gramStart"/>
            <w:r>
              <w:rPr>
                <w:rFonts w:ascii="宋体" w:hAnsi="宋体" w:cs="宋体" w:hint="eastAsia"/>
                <w:color w:val="000000"/>
                <w:kern w:val="0"/>
                <w:sz w:val="20"/>
                <w:szCs w:val="20"/>
                <w:lang w:bidi="ar"/>
              </w:rPr>
              <w:t>”</w:t>
            </w:r>
            <w:proofErr w:type="gramEnd"/>
            <w:r>
              <w:rPr>
                <w:rFonts w:ascii="宋体" w:hAnsi="宋体" w:cs="宋体" w:hint="eastAsia"/>
                <w:color w:val="000000"/>
                <w:kern w:val="0"/>
                <w:sz w:val="20"/>
                <w:szCs w:val="20"/>
                <w:lang w:bidi="ar"/>
              </w:rPr>
              <w:t>为主题，对学校课程设置、专业学科建设、办学特色等工作做了宣传。各类培训、教学常规检查、教师研修活动、法治教育活动资料齐全，活动资料完善。</w:t>
            </w:r>
          </w:p>
        </w:tc>
      </w:tr>
      <w:tr w:rsidR="00DF2C38">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DF2C38">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保障办公人员工数量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&gt;=45人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木垒县白杨河乡中心学校机构改革方案</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r>
      <w:tr w:rsidR="00DF2C38">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&gt;=6908平方米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木垒县白杨河乡中心学校2023年预算</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6908平方米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r>
      <w:tr w:rsidR="00DF2C38">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r>
      <w:tr w:rsidR="00DF2C38">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管理班级数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&gt;=6个</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F2C38">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“三进两联</w:t>
            </w: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交友”联谊活动每学期数量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F2C38">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学校教学常规检查</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F2C38">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组织开展法制教育活动</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F2C38">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r>
      <w:tr w:rsidR="00DF2C38">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每学期主题式校本研修活动</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F2C38">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r>
      <w:tr w:rsidR="00DF2C38">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r>
      <w:tr w:rsidR="00DF2C38">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C38" w:rsidRDefault="00DF2C38">
            <w:pPr>
              <w:jc w:val="center"/>
              <w:rPr>
                <w:rFonts w:ascii="宋体" w:hAnsi="宋体" w:cs="宋体" w:hint="eastAsia"/>
                <w:color w:val="000000"/>
                <w:sz w:val="20"/>
                <w:szCs w:val="20"/>
              </w:rPr>
            </w:pPr>
          </w:p>
        </w:tc>
      </w:tr>
    </w:tbl>
    <w:p w:rsidR="00DF2C38" w:rsidRDefault="00DF2C38">
      <w:pPr>
        <w:ind w:firstLineChars="200" w:firstLine="640"/>
        <w:jc w:val="left"/>
        <w:rPr>
          <w:rFonts w:ascii="黑体" w:eastAsia="黑体" w:hAnsi="黑体" w:cs="宋体" w:hint="eastAsia"/>
          <w:bCs/>
          <w:kern w:val="0"/>
          <w:sz w:val="32"/>
          <w:szCs w:val="32"/>
        </w:rPr>
      </w:pPr>
    </w:p>
    <w:p w:rsidR="00DF2C3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DF2C38"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w:t>
      </w:r>
      <w:r>
        <w:rPr>
          <w:rFonts w:ascii="仿宋_GB2312" w:eastAsia="仿宋_GB2312" w:hAnsi="仿宋_GB2312" w:cs="仿宋_GB2312" w:hint="eastAsia"/>
          <w:kern w:val="0"/>
          <w:sz w:val="32"/>
          <w:szCs w:val="32"/>
        </w:rPr>
        <w:lastRenderedPageBreak/>
        <w:t>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DF2C3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DF2C3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DF2C3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DF2C3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DF2C3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DF2C3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DF2C38"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DF2C3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DF2C38"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DF2C38"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DF2C3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DF2C3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DF2C3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DF2C38"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DF2C3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DF2C38" w:rsidRDefault="00DF2C38">
      <w:pPr>
        <w:ind w:firstLineChars="200" w:firstLine="640"/>
        <w:rPr>
          <w:rFonts w:ascii="仿宋_GB2312" w:eastAsia="仿宋_GB2312"/>
          <w:sz w:val="32"/>
          <w:szCs w:val="32"/>
        </w:rPr>
      </w:pPr>
    </w:p>
    <w:p w:rsidR="00DF2C38" w:rsidRDefault="00DF2C38">
      <w:pPr>
        <w:ind w:firstLineChars="200" w:firstLine="640"/>
        <w:outlineLvl w:val="1"/>
        <w:rPr>
          <w:rFonts w:ascii="黑体" w:eastAsia="黑体" w:hAnsi="黑体" w:cs="宋体" w:hint="eastAsia"/>
          <w:bCs/>
          <w:kern w:val="0"/>
          <w:sz w:val="32"/>
          <w:szCs w:val="32"/>
        </w:rPr>
      </w:pPr>
    </w:p>
    <w:sectPr w:rsidR="00DF2C3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85145" w:rsidRDefault="00585145">
      <w:r>
        <w:separator/>
      </w:r>
    </w:p>
  </w:endnote>
  <w:endnote w:type="continuationSeparator" w:id="0">
    <w:p w:rsidR="00585145" w:rsidRDefault="0058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F2C38"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F2C3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DF2C3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85145" w:rsidRDefault="00585145">
      <w:r>
        <w:separator/>
      </w:r>
    </w:p>
  </w:footnote>
  <w:footnote w:type="continuationSeparator" w:id="0">
    <w:p w:rsidR="00585145" w:rsidRDefault="00585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57702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DF2C38"/>
    <w:rsid w:val="00156BD7"/>
    <w:rsid w:val="00213C59"/>
    <w:rsid w:val="003210CE"/>
    <w:rsid w:val="00585145"/>
    <w:rsid w:val="00B70D59"/>
    <w:rsid w:val="00D26E41"/>
    <w:rsid w:val="00DF2C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E62582"/>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9206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C6482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EE70B7"/>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F914A"/>
  <w15:docId w15:val="{E43B8FA6-469E-4D99-866B-0FF7B0FF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TOC3">
    <w:name w:val="toc 3"/>
    <w:basedOn w:val="a"/>
    <w:next w:val="a"/>
    <w:autoRedefine/>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